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657" w:rsidRDefault="00C47657" w:rsidP="0003705F">
      <w:pPr>
        <w:jc w:val="both"/>
        <w:rPr>
          <w:b/>
        </w:rPr>
      </w:pPr>
      <w:r w:rsidRPr="007E6196">
        <w:rPr>
          <w:b/>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ibrary:Mail:V2:POP-tminkowitz@earthlink.net@pop.earthlink.net:INBOX.mbox:6E5FED58-E939-40CF-9BB5-FC3F034FD43A:Data:4:3:Attachments:34980:2.4:CHRUSPlogo2.pdf" style="width:102.75pt;height:78.75pt;visibility:visible">
            <v:imagedata r:id="rId6" o:title=""/>
          </v:shape>
        </w:pict>
      </w:r>
    </w:p>
    <w:p w:rsidR="00C47657" w:rsidRDefault="00C47657" w:rsidP="0003705F">
      <w:pPr>
        <w:jc w:val="both"/>
        <w:rPr>
          <w:b/>
        </w:rPr>
      </w:pPr>
    </w:p>
    <w:p w:rsidR="00C47657" w:rsidRDefault="00C47657" w:rsidP="0003705F">
      <w:pPr>
        <w:jc w:val="both"/>
        <w:rPr>
          <w:b/>
        </w:rPr>
      </w:pPr>
    </w:p>
    <w:p w:rsidR="00C47657" w:rsidRPr="00B66EBD" w:rsidRDefault="00C47657" w:rsidP="004C15A2">
      <w:pPr>
        <w:jc w:val="both"/>
        <w:rPr>
          <w:b/>
          <w:lang w:val="fr-FR"/>
        </w:rPr>
      </w:pPr>
      <w:r>
        <w:rPr>
          <w:b/>
          <w:lang w:val="fr-FR"/>
        </w:rPr>
        <w:t xml:space="preserve">Campagne pour soutenir l’Abolition totale </w:t>
      </w:r>
      <w:r w:rsidRPr="00B66EBD">
        <w:rPr>
          <w:b/>
          <w:lang w:val="fr-FR"/>
        </w:rPr>
        <w:t>des soins et de l’hospitalisation sans consentement en application de la CDPH de l’ONU</w:t>
      </w:r>
    </w:p>
    <w:p w:rsidR="00C47657" w:rsidRPr="00B66EBD" w:rsidRDefault="00C47657" w:rsidP="0003705F">
      <w:pPr>
        <w:jc w:val="both"/>
        <w:rPr>
          <w:b/>
          <w:lang w:val="fr-FR"/>
        </w:rPr>
      </w:pPr>
    </w:p>
    <w:p w:rsidR="00C47657" w:rsidRPr="003D1365" w:rsidRDefault="00C47657" w:rsidP="0003705F">
      <w:pPr>
        <w:jc w:val="both"/>
        <w:rPr>
          <w:lang w:val="fr-FR"/>
        </w:rPr>
      </w:pPr>
    </w:p>
    <w:p w:rsidR="00C47657" w:rsidRPr="00B66EBD" w:rsidRDefault="00C47657" w:rsidP="004C15A2">
      <w:pPr>
        <w:jc w:val="both"/>
        <w:rPr>
          <w:lang w:val="fr-FR"/>
        </w:rPr>
      </w:pPr>
      <w:r w:rsidRPr="00B66EBD">
        <w:rPr>
          <w:b/>
          <w:lang w:val="fr-FR"/>
        </w:rPr>
        <w:t>Action</w:t>
      </w:r>
      <w:r>
        <w:rPr>
          <w:b/>
          <w:lang w:val="fr-FR"/>
        </w:rPr>
        <w:t xml:space="preserve"> </w:t>
      </w:r>
      <w:r w:rsidRPr="00B66EBD">
        <w:rPr>
          <w:b/>
          <w:lang w:val="fr-FR"/>
        </w:rPr>
        <w:t>:</w:t>
      </w:r>
      <w:r w:rsidRPr="00B66EBD">
        <w:rPr>
          <w:lang w:val="fr-FR"/>
        </w:rPr>
        <w:t xml:space="preserve"> </w:t>
      </w:r>
      <w:r>
        <w:rPr>
          <w:lang w:val="fr-FR"/>
        </w:rPr>
        <w:t xml:space="preserve">Lancer des </w:t>
      </w:r>
      <w:r w:rsidRPr="00B66EBD">
        <w:rPr>
          <w:lang w:val="fr-FR"/>
        </w:rPr>
        <w:t xml:space="preserve">messages coordonnés sur des blogs partenaires </w:t>
      </w:r>
      <w:r>
        <w:rPr>
          <w:lang w:val="fr-FR"/>
        </w:rPr>
        <w:t xml:space="preserve">le </w:t>
      </w:r>
      <w:r w:rsidRPr="00B66EBD">
        <w:rPr>
          <w:lang w:val="fr-FR"/>
        </w:rPr>
        <w:t>29 mar</w:t>
      </w:r>
      <w:r>
        <w:rPr>
          <w:lang w:val="fr-FR"/>
        </w:rPr>
        <w:t>s</w:t>
      </w:r>
      <w:r w:rsidRPr="00B66EBD">
        <w:rPr>
          <w:lang w:val="fr-FR"/>
        </w:rPr>
        <w:t xml:space="preserve"> 2016 - jour d</w:t>
      </w:r>
      <w:r>
        <w:rPr>
          <w:lang w:val="fr-FR"/>
        </w:rPr>
        <w:t>e l</w:t>
      </w:r>
      <w:r w:rsidRPr="00B66EBD">
        <w:rPr>
          <w:lang w:val="fr-FR"/>
        </w:rPr>
        <w:t>’ouverture de la 15</w:t>
      </w:r>
      <w:r w:rsidRPr="003D1365">
        <w:rPr>
          <w:vertAlign w:val="superscript"/>
          <w:lang w:val="fr-FR"/>
        </w:rPr>
        <w:t>ème</w:t>
      </w:r>
      <w:r>
        <w:rPr>
          <w:lang w:val="fr-FR"/>
        </w:rPr>
        <w:t xml:space="preserve"> </w:t>
      </w:r>
      <w:r w:rsidRPr="00B66EBD">
        <w:rPr>
          <w:lang w:val="fr-FR"/>
        </w:rPr>
        <w:t>session du Comité des Droits des personnes handicapée</w:t>
      </w:r>
      <w:r>
        <w:rPr>
          <w:lang w:val="fr-FR"/>
        </w:rPr>
        <w:t>s</w:t>
      </w:r>
      <w:r w:rsidRPr="00B66EBD">
        <w:rPr>
          <w:lang w:val="fr-FR"/>
        </w:rPr>
        <w:t xml:space="preserve"> de l’ONU</w:t>
      </w:r>
    </w:p>
    <w:p w:rsidR="00C47657" w:rsidRPr="00B66EBD" w:rsidRDefault="00C47657" w:rsidP="0003705F">
      <w:pPr>
        <w:jc w:val="both"/>
        <w:rPr>
          <w:lang w:val="fr-FR"/>
        </w:rPr>
      </w:pPr>
    </w:p>
    <w:p w:rsidR="00C47657" w:rsidRDefault="00C47657" w:rsidP="00EA229A">
      <w:pPr>
        <w:jc w:val="both"/>
        <w:rPr>
          <w:lang w:val="fr-FR"/>
        </w:rPr>
      </w:pPr>
      <w:r w:rsidRPr="00B66EBD">
        <w:rPr>
          <w:b/>
          <w:lang w:val="fr-FR"/>
        </w:rPr>
        <w:t>Participants</w:t>
      </w:r>
      <w:r>
        <w:rPr>
          <w:b/>
          <w:lang w:val="fr-FR"/>
        </w:rPr>
        <w:t xml:space="preserve"> </w:t>
      </w:r>
      <w:r w:rsidRPr="00B66EBD">
        <w:rPr>
          <w:b/>
          <w:lang w:val="fr-FR"/>
        </w:rPr>
        <w:t>:</w:t>
      </w:r>
      <w:r w:rsidRPr="00B66EBD">
        <w:rPr>
          <w:lang w:val="fr-FR"/>
        </w:rPr>
        <w:t xml:space="preserve"> Survivant</w:t>
      </w:r>
      <w:r>
        <w:rPr>
          <w:lang w:val="fr-FR"/>
        </w:rPr>
        <w:t>s</w:t>
      </w:r>
      <w:r w:rsidRPr="00B66EBD">
        <w:rPr>
          <w:lang w:val="fr-FR"/>
        </w:rPr>
        <w:t xml:space="preserve">, (ex)usagers </w:t>
      </w:r>
      <w:r>
        <w:rPr>
          <w:lang w:val="fr-FR"/>
        </w:rPr>
        <w:t xml:space="preserve">des services de </w:t>
      </w:r>
      <w:r w:rsidRPr="00B66EBD">
        <w:rPr>
          <w:lang w:val="fr-FR"/>
        </w:rPr>
        <w:t xml:space="preserve">psychiatrie, </w:t>
      </w:r>
      <w:r>
        <w:rPr>
          <w:lang w:val="fr-FR"/>
        </w:rPr>
        <w:t xml:space="preserve">sympathisants, chercheurs, avocats, </w:t>
      </w:r>
      <w:r w:rsidRPr="00B66EBD">
        <w:rPr>
          <w:lang w:val="fr-FR"/>
        </w:rPr>
        <w:t xml:space="preserve">universitaires, </w:t>
      </w:r>
      <w:r>
        <w:rPr>
          <w:lang w:val="fr-FR"/>
        </w:rPr>
        <w:t xml:space="preserve">gestionnaires, professionnels de santé et des </w:t>
      </w:r>
      <w:r w:rsidRPr="00B66EBD">
        <w:rPr>
          <w:lang w:val="fr-FR"/>
        </w:rPr>
        <w:t>services, journalistes, citoyens concernés du monde ...</w:t>
      </w:r>
    </w:p>
    <w:p w:rsidR="00C47657" w:rsidRDefault="00C47657" w:rsidP="00277C3A">
      <w:pPr>
        <w:jc w:val="both"/>
        <w:rPr>
          <w:lang w:val="fr-FR"/>
        </w:rPr>
      </w:pPr>
    </w:p>
    <w:p w:rsidR="00C47657" w:rsidRDefault="00C47657" w:rsidP="00EA229A">
      <w:pPr>
        <w:rPr>
          <w:lang w:val="fr-FR"/>
        </w:rPr>
      </w:pPr>
      <w:r w:rsidRPr="005921D1">
        <w:rPr>
          <w:b/>
          <w:bCs/>
          <w:lang w:val="fr-FR"/>
        </w:rPr>
        <w:t>Langues utilisées :</w:t>
      </w:r>
      <w:r w:rsidRPr="005921D1">
        <w:rPr>
          <w:lang w:val="fr-FR"/>
        </w:rPr>
        <w:t xml:space="preserve"> Même si la majorité </w:t>
      </w:r>
      <w:r>
        <w:rPr>
          <w:lang w:val="fr-FR"/>
        </w:rPr>
        <w:t>des participants s’expriment en anglais, des sites web en espagnol,  en norvégien, et en allemand collaborent déjà à cette campagne. Tout site web ou bloggeur francophone est le bienvenu pour nous rejoindre avec des contributions en français ou en toute autre langue.</w:t>
      </w:r>
    </w:p>
    <w:p w:rsidR="00C47657" w:rsidRDefault="00C47657" w:rsidP="005921D1">
      <w:pPr>
        <w:rPr>
          <w:lang w:val="fr-FR"/>
        </w:rPr>
      </w:pPr>
    </w:p>
    <w:p w:rsidR="00C47657" w:rsidRPr="00B66EBD" w:rsidRDefault="00C47657" w:rsidP="004C15A2">
      <w:pPr>
        <w:jc w:val="both"/>
        <w:rPr>
          <w:bCs/>
          <w:lang w:val="fr-FR"/>
        </w:rPr>
      </w:pPr>
      <w:r w:rsidRPr="00B66EBD">
        <w:rPr>
          <w:b/>
          <w:lang w:val="fr-FR"/>
        </w:rPr>
        <w:t xml:space="preserve">Contenu : </w:t>
      </w:r>
      <w:r w:rsidRPr="00EE0D40">
        <w:rPr>
          <w:bCs/>
          <w:lang w:val="fr-FR"/>
        </w:rPr>
        <w:t>Partager</w:t>
      </w:r>
      <w:r>
        <w:rPr>
          <w:b/>
          <w:lang w:val="fr-FR"/>
        </w:rPr>
        <w:t xml:space="preserve"> </w:t>
      </w:r>
      <w:r w:rsidRPr="00EA229A">
        <w:rPr>
          <w:bCs/>
          <w:lang w:val="fr-FR"/>
        </w:rPr>
        <w:t>avec</w:t>
      </w:r>
      <w:r>
        <w:rPr>
          <w:b/>
          <w:lang w:val="fr-FR"/>
        </w:rPr>
        <w:t xml:space="preserve"> </w:t>
      </w:r>
      <w:r w:rsidRPr="00B66EBD">
        <w:rPr>
          <w:bCs/>
          <w:lang w:val="fr-FR"/>
        </w:rPr>
        <w:t>votre cœur et votre esprit tout aspect relatif à l</w:t>
      </w:r>
      <w:r>
        <w:rPr>
          <w:bCs/>
          <w:lang w:val="fr-FR"/>
        </w:rPr>
        <w:t xml:space="preserve">’abolition totale et pourquoi elle est nécessaire : les dégâts causés par les traitements chimiques sans consentement ; la solidarité et la construction d’une société inclusive où tous sont égaux ; les implications juridiques de la CDPH au niveau du droit international et national ; l’accueil de la CDPH par d’autres mécanismes relatifs aux droits de l’homme ; le potentiel provoqué par cette abolition de transformer les services et les formes de soutien pour les personnes en situation de handicap psychosocial tels que nous les souhaitons ; la relation entre les diagnostics </w:t>
      </w:r>
      <w:r w:rsidRPr="00EA229A">
        <w:rPr>
          <w:bCs/>
          <w:lang w:val="fr-FR"/>
        </w:rPr>
        <w:t>pathologisants conduisant au traitement forcé et à la contrainte,</w:t>
      </w:r>
      <w:r>
        <w:rPr>
          <w:bCs/>
          <w:lang w:val="fr-FR"/>
        </w:rPr>
        <w:t xml:space="preserve"> etc. Ne vous limitez </w:t>
      </w:r>
      <w:r w:rsidRPr="00EA229A">
        <w:rPr>
          <w:bCs/>
          <w:lang w:val="fr-FR"/>
        </w:rPr>
        <w:t xml:space="preserve">pas à ces exemples. Ce qui compte est d’avoir un maximum de voix d’un maximum </w:t>
      </w:r>
      <w:r>
        <w:rPr>
          <w:bCs/>
          <w:lang w:val="fr-FR"/>
        </w:rPr>
        <w:t>de perspectives exprimant la valeur et la nécessité absolue de cette abolition.</w:t>
      </w:r>
    </w:p>
    <w:p w:rsidR="00C47657" w:rsidRPr="00B66EBD" w:rsidRDefault="00C47657" w:rsidP="00B66EBD">
      <w:pPr>
        <w:jc w:val="both"/>
        <w:rPr>
          <w:b/>
          <w:lang w:val="fr-FR"/>
        </w:rPr>
      </w:pPr>
    </w:p>
    <w:p w:rsidR="00C47657" w:rsidRPr="00805849" w:rsidRDefault="00C47657" w:rsidP="004C15A2">
      <w:pPr>
        <w:jc w:val="both"/>
        <w:rPr>
          <w:lang w:val="fr-FR"/>
        </w:rPr>
      </w:pPr>
      <w:r w:rsidRPr="00805849">
        <w:rPr>
          <w:b/>
          <w:lang w:val="fr-FR"/>
        </w:rPr>
        <w:t>Références :</w:t>
      </w:r>
      <w:r w:rsidRPr="00805849">
        <w:rPr>
          <w:lang w:val="fr-FR"/>
        </w:rPr>
        <w:t xml:space="preserve"> Relier vos arguments ou vos déclarations à la</w:t>
      </w:r>
      <w:r>
        <w:rPr>
          <w:lang w:val="fr-FR"/>
        </w:rPr>
        <w:t xml:space="preserve"> </w:t>
      </w:r>
      <w:hyperlink r:id="rId7" w:history="1">
        <w:r w:rsidRPr="003D1365">
          <w:rPr>
            <w:rStyle w:val="Hyperlink"/>
            <w:lang w:val="fr-FR"/>
          </w:rPr>
          <w:t>CDPH</w:t>
        </w:r>
      </w:hyperlink>
      <w:r w:rsidRPr="00805849">
        <w:rPr>
          <w:lang w:val="fr-FR"/>
        </w:rPr>
        <w:t xml:space="preserve"> (notamment ses articles 12, 14, 15, 17, 19, 25(d), 28),</w:t>
      </w:r>
      <w:r>
        <w:rPr>
          <w:lang w:val="fr-FR"/>
        </w:rPr>
        <w:t xml:space="preserve"> et à </w:t>
      </w:r>
      <w:hyperlink r:id="rId8" w:history="1">
        <w:r w:rsidRPr="003D1365">
          <w:rPr>
            <w:rStyle w:val="Hyperlink"/>
            <w:lang w:val="fr-FR"/>
          </w:rPr>
          <w:t>l’Observation générale n° 1 sur l’article 12</w:t>
        </w:r>
      </w:hyperlink>
      <w:r w:rsidRPr="00805849">
        <w:rPr>
          <w:lang w:val="fr-FR"/>
        </w:rPr>
        <w:t>, et /ou</w:t>
      </w:r>
      <w:r>
        <w:rPr>
          <w:lang w:val="fr-FR"/>
        </w:rPr>
        <w:t xml:space="preserve"> les Directives pour l’article 14</w:t>
      </w:r>
      <w:r w:rsidRPr="00805849">
        <w:rPr>
          <w:lang w:val="fr-FR"/>
        </w:rPr>
        <w:t xml:space="preserve"> </w:t>
      </w:r>
      <w:r>
        <w:rPr>
          <w:lang w:val="fr-FR"/>
        </w:rPr>
        <w:t>(</w:t>
      </w:r>
      <w:hyperlink r:id="rId9" w:history="1">
        <w:r w:rsidRPr="00805849">
          <w:rPr>
            <w:rStyle w:val="Hyperlink"/>
            <w:lang w:val="fr-FR"/>
          </w:rPr>
          <w:t>Guidelines on Article 14</w:t>
        </w:r>
      </w:hyperlink>
      <w:r w:rsidRPr="00460B91">
        <w:rPr>
          <w:lang w:val="fr-FR"/>
        </w:rPr>
        <w:t>)</w:t>
      </w:r>
      <w:r w:rsidRPr="00805849">
        <w:rPr>
          <w:lang w:val="fr-FR"/>
        </w:rPr>
        <w:t xml:space="preserve">, et exprimer votre </w:t>
      </w:r>
      <w:r>
        <w:rPr>
          <w:lang w:val="fr-FR"/>
        </w:rPr>
        <w:t>soutien de l’approche du Comité de la CDPH. Cette approche constitue un changement de paradigme allant d’un système sécuritaire procédural (paradigme obsolète des lois sur la santé mentale) à un système d’abolition totale (nouveau paradigme de la CDPH).</w:t>
      </w:r>
    </w:p>
    <w:p w:rsidR="00C47657" w:rsidRDefault="00C47657" w:rsidP="00805849">
      <w:pPr>
        <w:jc w:val="both"/>
        <w:rPr>
          <w:lang w:val="fr-FR"/>
        </w:rPr>
      </w:pPr>
    </w:p>
    <w:p w:rsidR="00C47657" w:rsidRPr="00805849" w:rsidRDefault="00C47657" w:rsidP="00325401">
      <w:pPr>
        <w:jc w:val="both"/>
        <w:rPr>
          <w:lang w:val="fr-FR"/>
        </w:rPr>
      </w:pPr>
      <w:r w:rsidRPr="00805849">
        <w:rPr>
          <w:lang w:val="fr-FR"/>
        </w:rPr>
        <w:t>***</w:t>
      </w:r>
      <w:r>
        <w:rPr>
          <w:lang w:val="fr-FR"/>
        </w:rPr>
        <w:t xml:space="preserve">Il serait </w:t>
      </w:r>
      <w:r w:rsidRPr="00805849">
        <w:rPr>
          <w:lang w:val="fr-FR"/>
        </w:rPr>
        <w:t>également utile de faire référence aux</w:t>
      </w:r>
      <w:r>
        <w:rPr>
          <w:lang w:val="fr-FR"/>
        </w:rPr>
        <w:t xml:space="preserve"> </w:t>
      </w:r>
      <w:hyperlink r:id="rId10" w:history="1">
        <w:r w:rsidRPr="00276EF1">
          <w:rPr>
            <w:rStyle w:val="Hyperlink"/>
            <w:lang w:val="fr-FR"/>
          </w:rPr>
          <w:t>Principes de base et lignes directrices</w:t>
        </w:r>
      </w:hyperlink>
      <w:r>
        <w:rPr>
          <w:lang w:val="fr-FR"/>
        </w:rPr>
        <w:t xml:space="preserve"> </w:t>
      </w:r>
      <w:r w:rsidRPr="00805849">
        <w:rPr>
          <w:lang w:val="fr-FR"/>
        </w:rPr>
        <w:t xml:space="preserve">publiés par </w:t>
      </w:r>
      <w:hyperlink r:id="rId11" w:history="1">
        <w:r w:rsidRPr="00294011">
          <w:rPr>
            <w:rStyle w:val="Hyperlink"/>
            <w:lang w:val="fr-FR"/>
          </w:rPr>
          <w:t>le Groupe de travail sur la détention arbitraire de l’ONU</w:t>
        </w:r>
      </w:hyperlink>
      <w:r w:rsidRPr="00805849">
        <w:rPr>
          <w:lang w:val="fr-FR"/>
        </w:rPr>
        <w:t>, Princip</w:t>
      </w:r>
      <w:r>
        <w:rPr>
          <w:lang w:val="fr-FR"/>
        </w:rPr>
        <w:t xml:space="preserve">e </w:t>
      </w:r>
      <w:r w:rsidRPr="00805849">
        <w:rPr>
          <w:lang w:val="fr-FR"/>
        </w:rPr>
        <w:t xml:space="preserve">20 </w:t>
      </w:r>
      <w:r>
        <w:rPr>
          <w:lang w:val="fr-FR"/>
        </w:rPr>
        <w:t xml:space="preserve">et Lignes directrice </w:t>
      </w:r>
      <w:r w:rsidRPr="00805849">
        <w:rPr>
          <w:lang w:val="fr-FR"/>
        </w:rPr>
        <w:t xml:space="preserve">20, qui construisent un pont entre l’ancien et le nouveau paradigme </w:t>
      </w:r>
      <w:r>
        <w:rPr>
          <w:lang w:val="fr-FR"/>
        </w:rPr>
        <w:t>en chargeant les juges d’appliquer cette abolition totale.</w:t>
      </w:r>
    </w:p>
    <w:p w:rsidR="00C47657" w:rsidRDefault="00C47657" w:rsidP="00805849">
      <w:pPr>
        <w:jc w:val="both"/>
        <w:rPr>
          <w:lang w:val="fr-FR"/>
        </w:rPr>
      </w:pPr>
    </w:p>
    <w:p w:rsidR="00C47657" w:rsidRPr="00805849" w:rsidRDefault="00C47657" w:rsidP="0003705F">
      <w:pPr>
        <w:jc w:val="both"/>
        <w:rPr>
          <w:lang w:val="fr-FR"/>
        </w:rPr>
      </w:pPr>
    </w:p>
    <w:p w:rsidR="00C47657" w:rsidRPr="00D56170" w:rsidRDefault="00C47657" w:rsidP="00325401">
      <w:pPr>
        <w:jc w:val="both"/>
        <w:rPr>
          <w:lang w:val="fr-FR"/>
        </w:rPr>
      </w:pPr>
      <w:r w:rsidRPr="00B8266C">
        <w:rPr>
          <w:b/>
          <w:lang w:val="fr-FR"/>
        </w:rPr>
        <w:t>Contexte :</w:t>
      </w:r>
      <w:r w:rsidRPr="00B8266C">
        <w:rPr>
          <w:lang w:val="fr-FR"/>
        </w:rPr>
        <w:t xml:space="preserve"> La CDPH représente un défi sérieux au statu quo</w:t>
      </w:r>
      <w:r>
        <w:rPr>
          <w:lang w:val="fr-FR"/>
        </w:rPr>
        <w:t xml:space="preserve"> de la loi et au pouvoir de la psychiatrie organisée.  Deux </w:t>
      </w:r>
      <w:r w:rsidRPr="00EA229A">
        <w:rPr>
          <w:lang w:val="fr-FR"/>
        </w:rPr>
        <w:t>Organes</w:t>
      </w:r>
      <w:r w:rsidRPr="00B8266C">
        <w:rPr>
          <w:lang w:val="fr-FR"/>
        </w:rPr>
        <w:t xml:space="preserve"> de Traités des Nations Unies</w:t>
      </w:r>
      <w:r>
        <w:rPr>
          <w:lang w:val="fr-FR"/>
        </w:rPr>
        <w:t xml:space="preserve"> sont en conflit ouvert avec le texte et l’interprétation faisant autorité de la CDPH : le Comité des droits de l’homme (qui surveille la mise en application du </w:t>
      </w:r>
      <w:r w:rsidRPr="00DD2191">
        <w:rPr>
          <w:lang w:val="fr-FR"/>
        </w:rPr>
        <w:t>Pacte international relatif aux droits civils et politiques</w:t>
      </w:r>
      <w:r>
        <w:rPr>
          <w:lang w:val="fr-FR"/>
        </w:rPr>
        <w:t xml:space="preserve">) dans son </w:t>
      </w:r>
      <w:hyperlink r:id="rId12" w:history="1">
        <w:r w:rsidRPr="004C15A2">
          <w:rPr>
            <w:rStyle w:val="Hyperlink"/>
            <w:lang w:val="fr-FR"/>
          </w:rPr>
          <w:t>Observation générale no 35</w:t>
        </w:r>
      </w:hyperlink>
      <w:r w:rsidRPr="00DD2191">
        <w:rPr>
          <w:lang w:val="fr-FR"/>
        </w:rPr>
        <w:t xml:space="preserve"> (par</w:t>
      </w:r>
      <w:r>
        <w:rPr>
          <w:lang w:val="fr-FR"/>
        </w:rPr>
        <w:t>.</w:t>
      </w:r>
      <w:r w:rsidRPr="00DD2191">
        <w:rPr>
          <w:lang w:val="fr-FR"/>
        </w:rPr>
        <w:t xml:space="preserve"> 19)</w:t>
      </w:r>
      <w:r>
        <w:rPr>
          <w:lang w:val="fr-FR"/>
        </w:rPr>
        <w:t xml:space="preserve"> </w:t>
      </w:r>
      <w:r w:rsidRPr="00DD2191">
        <w:rPr>
          <w:lang w:val="fr-FR"/>
        </w:rPr>
        <w:t xml:space="preserve">; </w:t>
      </w:r>
      <w:r>
        <w:rPr>
          <w:lang w:val="fr-FR"/>
        </w:rPr>
        <w:t xml:space="preserve">et le </w:t>
      </w:r>
      <w:r w:rsidRPr="00DD2191">
        <w:rPr>
          <w:lang w:val="fr-FR"/>
        </w:rPr>
        <w:t>Sous-comité pour la prévention de la torture</w:t>
      </w:r>
      <w:r>
        <w:rPr>
          <w:lang w:val="fr-FR"/>
        </w:rPr>
        <w:t xml:space="preserve"> (qui effectue des visites des lieux de détention et contrôle les mécanismes nationaux de prévention qui font de même) dans son document </w:t>
      </w:r>
      <w:r w:rsidRPr="00D64201">
        <w:rPr>
          <w:lang w:val="fr-FR"/>
        </w:rPr>
        <w:t>“</w:t>
      </w:r>
      <w:hyperlink r:id="rId13" w:history="1">
        <w:r w:rsidRPr="00D64201">
          <w:rPr>
            <w:rStyle w:val="Hyperlink"/>
            <w:lang w:val="fr-FR"/>
          </w:rPr>
          <w:t>Rights [sic] of persons institutionalized and medically treated without informed consent</w:t>
        </w:r>
      </w:hyperlink>
      <w:r w:rsidRPr="00D64201">
        <w:rPr>
          <w:lang w:val="fr-FR"/>
        </w:rPr>
        <w:t>”</w:t>
      </w:r>
      <w:r>
        <w:rPr>
          <w:lang w:val="fr-FR"/>
        </w:rPr>
        <w:t xml:space="preserve"> </w:t>
      </w:r>
      <w:r w:rsidRPr="00460B91">
        <w:rPr>
          <w:i/>
          <w:iCs/>
          <w:lang w:val="fr-FR"/>
        </w:rPr>
        <w:t>(Droits (sic) des personnes placées en institution et soumises aux traitements sans consentement éclairé)</w:t>
      </w:r>
      <w:r w:rsidRPr="00D64201">
        <w:rPr>
          <w:lang w:val="fr-FR"/>
        </w:rPr>
        <w:t xml:space="preserve">.  </w:t>
      </w:r>
      <w:r w:rsidRPr="00335510">
        <w:rPr>
          <w:lang w:val="fr-FR"/>
        </w:rPr>
        <w:t>La position du Sous-comité pour la prévention de la torture est l</w:t>
      </w:r>
      <w:r>
        <w:rPr>
          <w:lang w:val="fr-FR"/>
        </w:rPr>
        <w:t>a</w:t>
      </w:r>
      <w:r w:rsidRPr="00335510">
        <w:rPr>
          <w:lang w:val="fr-FR"/>
        </w:rPr>
        <w:t xml:space="preserve"> plus sévère, permettant non seulement le placement et le traitement </w:t>
      </w:r>
      <w:r>
        <w:rPr>
          <w:lang w:val="fr-FR"/>
        </w:rPr>
        <w:t xml:space="preserve">sans consentement mais expliquant aussi que son abolition serait en violation du droit à la santé et au droit </w:t>
      </w:r>
      <w:r w:rsidRPr="00D56170">
        <w:rPr>
          <w:lang w:val="fr-FR"/>
        </w:rPr>
        <w:t>ne pas être soumis à la torture ou aux mauvais traitements</w:t>
      </w:r>
      <w:r>
        <w:rPr>
          <w:lang w:val="fr-FR"/>
        </w:rPr>
        <w:t xml:space="preserve">. Autrement dit, le Comité soutient l’argument du « droit au traitement » avancé par la psychiatrie conventionnelle. Comme nous le savons, cet argument est basé sur la négation de la capacité et du droit des personnes en situation de handicap psychosocial de prendre leurs propres décisions et de défendre leur </w:t>
      </w:r>
      <w:r w:rsidRPr="00EE0D40">
        <w:rPr>
          <w:lang w:val="fr-FR"/>
        </w:rPr>
        <w:t xml:space="preserve">autonomie corporelle </w:t>
      </w:r>
      <w:r>
        <w:rPr>
          <w:lang w:val="fr-FR"/>
        </w:rPr>
        <w:t>tels que garantis par l’</w:t>
      </w:r>
      <w:r w:rsidRPr="00EE0D40">
        <w:rPr>
          <w:lang w:val="fr-FR"/>
        </w:rPr>
        <w:t>article 12 du CDPH.</w:t>
      </w:r>
      <w:r>
        <w:rPr>
          <w:lang w:val="fr-FR"/>
        </w:rPr>
        <w:t xml:space="preserve"> </w:t>
      </w:r>
      <w:r w:rsidRPr="00EE0D40">
        <w:rPr>
          <w:lang w:val="fr-FR"/>
        </w:rPr>
        <w:t xml:space="preserve">L’autonomie corporelle est un droit fondamental </w:t>
      </w:r>
      <w:r>
        <w:rPr>
          <w:lang w:val="fr-FR"/>
        </w:rPr>
        <w:t xml:space="preserve">rattaché </w:t>
      </w:r>
      <w:r w:rsidRPr="00EE0D40">
        <w:rPr>
          <w:lang w:val="fr-FR"/>
        </w:rPr>
        <w:t>à la personnalité de chacun et indispensable à notre</w:t>
      </w:r>
      <w:r>
        <w:rPr>
          <w:lang w:val="fr-FR"/>
        </w:rPr>
        <w:t xml:space="preserve"> sécurité ; deux aspects des droits de l’homme nécessaires à notre bien-être.</w:t>
      </w:r>
    </w:p>
    <w:p w:rsidR="00C47657" w:rsidRPr="00335510" w:rsidRDefault="00C47657" w:rsidP="00D64201">
      <w:pPr>
        <w:jc w:val="both"/>
        <w:rPr>
          <w:lang w:val="fr-FR"/>
        </w:rPr>
      </w:pPr>
    </w:p>
    <w:p w:rsidR="00C47657" w:rsidRPr="003D1365" w:rsidRDefault="00C47657" w:rsidP="0003705F">
      <w:pPr>
        <w:jc w:val="both"/>
        <w:rPr>
          <w:lang w:val="fr-FR"/>
        </w:rPr>
      </w:pPr>
    </w:p>
    <w:p w:rsidR="00C47657" w:rsidRPr="003D1365" w:rsidRDefault="00C47657" w:rsidP="00F70356">
      <w:pPr>
        <w:jc w:val="both"/>
        <w:rPr>
          <w:b/>
          <w:lang w:val="fr-FR"/>
        </w:rPr>
      </w:pPr>
      <w:r w:rsidRPr="003D1365">
        <w:rPr>
          <w:b/>
          <w:lang w:val="fr-FR"/>
        </w:rPr>
        <w:t xml:space="preserve">Références :  </w:t>
      </w:r>
    </w:p>
    <w:p w:rsidR="00C47657" w:rsidRPr="003D1365" w:rsidRDefault="00C47657" w:rsidP="0003705F">
      <w:pPr>
        <w:jc w:val="both"/>
        <w:rPr>
          <w:lang w:val="fr-FR"/>
        </w:rPr>
      </w:pPr>
      <w:hyperlink r:id="rId14" w:history="1">
        <w:r w:rsidRPr="003D1365">
          <w:rPr>
            <w:rStyle w:val="Hyperlink"/>
            <w:lang w:val="fr-FR"/>
          </w:rPr>
          <w:t>http://www.madinamerica.com/2015/12/human-rights-updates/</w:t>
        </w:r>
      </w:hyperlink>
      <w:r w:rsidRPr="003D1365">
        <w:rPr>
          <w:lang w:val="fr-FR"/>
        </w:rPr>
        <w:t xml:space="preserve"> </w:t>
      </w:r>
      <w:hyperlink r:id="rId15" w:history="1">
        <w:r w:rsidRPr="003D1365">
          <w:rPr>
            <w:rStyle w:val="Hyperlink"/>
            <w:lang w:val="fr-FR"/>
          </w:rPr>
          <w:t>https://www.youtube.com/results?search_query=tina+minkowitz+crpd</w:t>
        </w:r>
      </w:hyperlink>
      <w:r w:rsidRPr="003D1365">
        <w:rPr>
          <w:lang w:val="fr-FR"/>
        </w:rPr>
        <w:t xml:space="preserve"> </w:t>
      </w:r>
    </w:p>
    <w:p w:rsidR="00C47657" w:rsidRPr="003D1365" w:rsidRDefault="00C47657" w:rsidP="0003705F">
      <w:pPr>
        <w:jc w:val="both"/>
        <w:rPr>
          <w:lang w:val="fr-FR"/>
        </w:rPr>
      </w:pPr>
    </w:p>
    <w:p w:rsidR="00C47657" w:rsidRDefault="00C47657" w:rsidP="0003705F">
      <w:pPr>
        <w:jc w:val="both"/>
      </w:pPr>
      <w:r w:rsidRPr="00613459">
        <w:rPr>
          <w:b/>
        </w:rPr>
        <w:t>Contact</w:t>
      </w:r>
      <w:r>
        <w:rPr>
          <w:b/>
        </w:rPr>
        <w:t xml:space="preserve"> </w:t>
      </w:r>
      <w:r w:rsidRPr="00613459">
        <w:rPr>
          <w:b/>
        </w:rPr>
        <w:t>:</w:t>
      </w:r>
      <w:r>
        <w:t xml:space="preserve">  Tina Minkowitz </w:t>
      </w:r>
      <w:hyperlink r:id="rId16" w:history="1">
        <w:r w:rsidRPr="002779F3">
          <w:rPr>
            <w:rStyle w:val="Hyperlink"/>
          </w:rPr>
          <w:t>tminkowitz@earthlink.net</w:t>
        </w:r>
      </w:hyperlink>
      <w:r>
        <w:t xml:space="preserve"> </w:t>
      </w:r>
    </w:p>
    <w:p w:rsidR="00C47657" w:rsidRDefault="00C47657" w:rsidP="0003705F">
      <w:pPr>
        <w:jc w:val="both"/>
      </w:pPr>
    </w:p>
    <w:p w:rsidR="00C47657" w:rsidRDefault="00C47657" w:rsidP="00F34909">
      <w:hyperlink r:id="rId17" w:tooltip="https://absoluteprohibition.wordpress.com/" w:history="1">
        <w:r w:rsidRPr="001B3D1E">
          <w:rPr>
            <w:rStyle w:val="Hyperlink"/>
            <w:lang w:val="en-GB"/>
          </w:rPr>
          <w:t>https://absoluteprohibition.wordpress.com</w:t>
        </w:r>
      </w:hyperlink>
    </w:p>
    <w:p w:rsidR="00C47657" w:rsidRDefault="00C47657" w:rsidP="00F34909">
      <w:pPr>
        <w:jc w:val="both"/>
      </w:pPr>
    </w:p>
    <w:p w:rsidR="00C47657" w:rsidRPr="007931BD" w:rsidRDefault="00C47657" w:rsidP="0003705F">
      <w:pPr>
        <w:jc w:val="both"/>
      </w:pPr>
    </w:p>
    <w:sectPr w:rsidR="00C47657" w:rsidRPr="007931BD" w:rsidSect="0003705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657" w:rsidRDefault="00C47657" w:rsidP="00E34E9A">
      <w:r>
        <w:separator/>
      </w:r>
    </w:p>
  </w:endnote>
  <w:endnote w:type="continuationSeparator" w:id="0">
    <w:p w:rsidR="00C47657" w:rsidRDefault="00C47657" w:rsidP="00E34E9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657" w:rsidRDefault="00C47657" w:rsidP="00E34E9A">
      <w:r>
        <w:separator/>
      </w:r>
    </w:p>
  </w:footnote>
  <w:footnote w:type="continuationSeparator" w:id="0">
    <w:p w:rsidR="00C47657" w:rsidRDefault="00C47657" w:rsidP="00E34E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DBE"/>
    <w:rsid w:val="000154E5"/>
    <w:rsid w:val="0003705F"/>
    <w:rsid w:val="000378DC"/>
    <w:rsid w:val="00132764"/>
    <w:rsid w:val="00153EED"/>
    <w:rsid w:val="001928E8"/>
    <w:rsid w:val="001B3D1E"/>
    <w:rsid w:val="001D5D16"/>
    <w:rsid w:val="00276EF1"/>
    <w:rsid w:val="002779F3"/>
    <w:rsid w:val="00277C3A"/>
    <w:rsid w:val="00282A15"/>
    <w:rsid w:val="00294011"/>
    <w:rsid w:val="00304057"/>
    <w:rsid w:val="00325401"/>
    <w:rsid w:val="00332C42"/>
    <w:rsid w:val="00335510"/>
    <w:rsid w:val="003664FA"/>
    <w:rsid w:val="003C3F2D"/>
    <w:rsid w:val="003C48F4"/>
    <w:rsid w:val="003C6E1A"/>
    <w:rsid w:val="003D1365"/>
    <w:rsid w:val="00460B91"/>
    <w:rsid w:val="004758A7"/>
    <w:rsid w:val="00482602"/>
    <w:rsid w:val="004B3D22"/>
    <w:rsid w:val="004C15A2"/>
    <w:rsid w:val="00563A25"/>
    <w:rsid w:val="00581750"/>
    <w:rsid w:val="005921D1"/>
    <w:rsid w:val="00613459"/>
    <w:rsid w:val="00624CC4"/>
    <w:rsid w:val="006650B3"/>
    <w:rsid w:val="006E7085"/>
    <w:rsid w:val="006F7B16"/>
    <w:rsid w:val="00787EBD"/>
    <w:rsid w:val="007931BD"/>
    <w:rsid w:val="007C1AFC"/>
    <w:rsid w:val="007D0F4C"/>
    <w:rsid w:val="007E6196"/>
    <w:rsid w:val="00805849"/>
    <w:rsid w:val="00855A16"/>
    <w:rsid w:val="00865F01"/>
    <w:rsid w:val="00874B8F"/>
    <w:rsid w:val="00883260"/>
    <w:rsid w:val="008A15C6"/>
    <w:rsid w:val="008D33C4"/>
    <w:rsid w:val="008D513E"/>
    <w:rsid w:val="00936943"/>
    <w:rsid w:val="0096151D"/>
    <w:rsid w:val="009A2438"/>
    <w:rsid w:val="009B3B95"/>
    <w:rsid w:val="00A50A91"/>
    <w:rsid w:val="00A71DBE"/>
    <w:rsid w:val="00AB2E3C"/>
    <w:rsid w:val="00AF6378"/>
    <w:rsid w:val="00B06B81"/>
    <w:rsid w:val="00B076F6"/>
    <w:rsid w:val="00B121E2"/>
    <w:rsid w:val="00B66EBD"/>
    <w:rsid w:val="00B8266C"/>
    <w:rsid w:val="00C16DF9"/>
    <w:rsid w:val="00C47657"/>
    <w:rsid w:val="00D56170"/>
    <w:rsid w:val="00D64201"/>
    <w:rsid w:val="00D820E3"/>
    <w:rsid w:val="00DB6EB8"/>
    <w:rsid w:val="00DD2191"/>
    <w:rsid w:val="00E34E9A"/>
    <w:rsid w:val="00E7315C"/>
    <w:rsid w:val="00EA229A"/>
    <w:rsid w:val="00EC1A39"/>
    <w:rsid w:val="00EE0D40"/>
    <w:rsid w:val="00EE24C6"/>
    <w:rsid w:val="00F05017"/>
    <w:rsid w:val="00F258BB"/>
    <w:rsid w:val="00F34909"/>
    <w:rsid w:val="00F70356"/>
    <w:rsid w:val="00FA044C"/>
    <w:rsid w:val="00FB737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B8F"/>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3459"/>
    <w:rPr>
      <w:rFonts w:cs="Times New Roman"/>
      <w:color w:val="0000FF"/>
      <w:u w:val="single"/>
    </w:rPr>
  </w:style>
  <w:style w:type="character" w:styleId="FollowedHyperlink">
    <w:name w:val="FollowedHyperlink"/>
    <w:basedOn w:val="DefaultParagraphFont"/>
    <w:uiPriority w:val="99"/>
    <w:semiHidden/>
    <w:rsid w:val="007931BD"/>
    <w:rPr>
      <w:rFonts w:cs="Times New Roman"/>
      <w:color w:val="800080"/>
      <w:u w:val="single"/>
    </w:rPr>
  </w:style>
  <w:style w:type="paragraph" w:styleId="Header">
    <w:name w:val="header"/>
    <w:basedOn w:val="Normal"/>
    <w:link w:val="HeaderChar"/>
    <w:uiPriority w:val="99"/>
    <w:rsid w:val="00E34E9A"/>
    <w:pPr>
      <w:tabs>
        <w:tab w:val="center" w:pos="4320"/>
        <w:tab w:val="right" w:pos="8640"/>
      </w:tabs>
    </w:pPr>
  </w:style>
  <w:style w:type="character" w:customStyle="1" w:styleId="HeaderChar">
    <w:name w:val="Header Char"/>
    <w:basedOn w:val="DefaultParagraphFont"/>
    <w:link w:val="Header"/>
    <w:uiPriority w:val="99"/>
    <w:locked/>
    <w:rsid w:val="00E34E9A"/>
    <w:rPr>
      <w:rFonts w:cs="Times New Roman"/>
    </w:rPr>
  </w:style>
  <w:style w:type="paragraph" w:styleId="Footer">
    <w:name w:val="footer"/>
    <w:basedOn w:val="Normal"/>
    <w:link w:val="FooterChar"/>
    <w:uiPriority w:val="99"/>
    <w:rsid w:val="00E34E9A"/>
    <w:pPr>
      <w:tabs>
        <w:tab w:val="center" w:pos="4320"/>
        <w:tab w:val="right" w:pos="8640"/>
      </w:tabs>
    </w:pPr>
  </w:style>
  <w:style w:type="character" w:customStyle="1" w:styleId="FooterChar">
    <w:name w:val="Footer Char"/>
    <w:basedOn w:val="DefaultParagraphFont"/>
    <w:link w:val="Footer"/>
    <w:uiPriority w:val="99"/>
    <w:locked/>
    <w:rsid w:val="00E34E9A"/>
    <w:rPr>
      <w:rFonts w:cs="Times New Roman"/>
    </w:rPr>
  </w:style>
  <w:style w:type="paragraph" w:styleId="BalloonText">
    <w:name w:val="Balloon Text"/>
    <w:basedOn w:val="Normal"/>
    <w:link w:val="BalloonTextChar"/>
    <w:uiPriority w:val="99"/>
    <w:semiHidden/>
    <w:rsid w:val="00E34E9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34E9A"/>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1334213873">
      <w:marLeft w:val="0"/>
      <w:marRight w:val="0"/>
      <w:marTop w:val="0"/>
      <w:marBottom w:val="0"/>
      <w:divBdr>
        <w:top w:val="none" w:sz="0" w:space="0" w:color="auto"/>
        <w:left w:val="none" w:sz="0" w:space="0" w:color="auto"/>
        <w:bottom w:val="none" w:sz="0" w:space="0" w:color="auto"/>
        <w:right w:val="none" w:sz="0" w:space="0" w:color="auto"/>
      </w:divBdr>
      <w:divsChild>
        <w:div w:id="1334213871">
          <w:marLeft w:val="0"/>
          <w:marRight w:val="0"/>
          <w:marTop w:val="0"/>
          <w:marBottom w:val="0"/>
          <w:divBdr>
            <w:top w:val="none" w:sz="0" w:space="0" w:color="auto"/>
            <w:left w:val="none" w:sz="0" w:space="0" w:color="auto"/>
            <w:bottom w:val="none" w:sz="0" w:space="0" w:color="auto"/>
            <w:right w:val="none" w:sz="0" w:space="0" w:color="auto"/>
          </w:divBdr>
        </w:div>
        <w:div w:id="1334213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ccess-dds-ny.un.org/doc/UNDOC/GEN/G14/031/21/PDF/G1403121.pdf?OpenElement" TargetMode="External"/><Relationship Id="rId13" Type="http://schemas.openxmlformats.org/officeDocument/2006/relationships/hyperlink" Target="http://www.ohchr.org/Documents/HRBodies/OPCAT/RightInstituionalizedMedicallyTreatedwithoutConsent_EN.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org/french/disabilities/default.asp?id=1413" TargetMode="External"/><Relationship Id="rId12" Type="http://schemas.openxmlformats.org/officeDocument/2006/relationships/hyperlink" Target="http://tbinternet.ohchr.org/_layouts/treatybodyexternal/Download.aspx?symbolno=CCPR/C/GC/35&amp;Lang=en" TargetMode="External"/><Relationship Id="rId17" Type="http://schemas.openxmlformats.org/officeDocument/2006/relationships/hyperlink" Target="https://absoluteprohibition.wordpress.com/" TargetMode="External"/><Relationship Id="rId2" Type="http://schemas.openxmlformats.org/officeDocument/2006/relationships/settings" Target="settings.xml"/><Relationship Id="rId16" Type="http://schemas.openxmlformats.org/officeDocument/2006/relationships/hyperlink" Target="mailto:tminkowitz@earthlink.net"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ohchr.org/Documents/Publications/FactSheet26fr.pdf" TargetMode="External"/><Relationship Id="rId5" Type="http://schemas.openxmlformats.org/officeDocument/2006/relationships/endnotes" Target="endnotes.xml"/><Relationship Id="rId15" Type="http://schemas.openxmlformats.org/officeDocument/2006/relationships/hyperlink" Target="https://www.youtube.com/results?search_query=tina+minkowitz+crpd" TargetMode="External"/><Relationship Id="rId10" Type="http://schemas.openxmlformats.org/officeDocument/2006/relationships/hyperlink" Target="http://www.ohchr.org/EN/HRBodies/HRC/RegularSessions/Session30/Documents/A_HRC_30_37_FRE.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ohchr.org/Documents/HRBodies/CRPD/GC/GuidelinesArticle14.doc" TargetMode="External"/><Relationship Id="rId14" Type="http://schemas.openxmlformats.org/officeDocument/2006/relationships/hyperlink" Target="http://www.madinamerica.com/2015/12/human-rights-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2</Pages>
  <Words>844</Words>
  <Characters>4645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Tina Minkowitz</dc:creator>
  <cp:keywords/>
  <dc:description/>
  <cp:lastModifiedBy>Stéphanie Wooley</cp:lastModifiedBy>
  <cp:revision>6</cp:revision>
  <cp:lastPrinted>2016-01-19T22:11:00Z</cp:lastPrinted>
  <dcterms:created xsi:type="dcterms:W3CDTF">2016-02-08T21:11:00Z</dcterms:created>
  <dcterms:modified xsi:type="dcterms:W3CDTF">2016-02-09T12:53:00Z</dcterms:modified>
</cp:coreProperties>
</file>